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E8BD" w14:textId="77777777" w:rsidR="003D438C" w:rsidRDefault="003D438C" w:rsidP="003D438C">
      <w:pPr>
        <w:rPr>
          <w:b/>
          <w:szCs w:val="24"/>
          <w:u w:val="single"/>
          <w:lang w:val="pl-PL"/>
        </w:rPr>
      </w:pPr>
      <w:r w:rsidRPr="00D360EF">
        <w:rPr>
          <w:b/>
          <w:szCs w:val="24"/>
          <w:u w:val="single"/>
          <w:lang w:val="pl-PL"/>
        </w:rPr>
        <w:t>INFORMACJA</w:t>
      </w:r>
    </w:p>
    <w:p w14:paraId="46CB57BA" w14:textId="77777777" w:rsidR="003D438C" w:rsidRPr="00D360EF" w:rsidRDefault="003D438C" w:rsidP="003D438C">
      <w:pPr>
        <w:rPr>
          <w:b/>
          <w:color w:val="auto"/>
          <w:kern w:val="0"/>
          <w:szCs w:val="24"/>
          <w:u w:val="single"/>
          <w:lang w:val="pl-PL"/>
        </w:rPr>
      </w:pPr>
    </w:p>
    <w:p w14:paraId="01F155D6" w14:textId="77777777" w:rsidR="003D438C" w:rsidRDefault="003D438C" w:rsidP="003D438C">
      <w:pPr>
        <w:rPr>
          <w:b/>
          <w:color w:val="000000" w:themeColor="text1"/>
          <w:szCs w:val="24"/>
          <w:lang w:val="pl-PL"/>
        </w:rPr>
      </w:pPr>
      <w:r w:rsidRPr="00D360EF">
        <w:rPr>
          <w:b/>
          <w:color w:val="000000" w:themeColor="text1"/>
          <w:szCs w:val="24"/>
          <w:lang w:val="pl-PL"/>
        </w:rPr>
        <w:t xml:space="preserve">Moduł I Obszar B – Zadanie </w:t>
      </w:r>
      <w:r>
        <w:rPr>
          <w:b/>
          <w:color w:val="000000" w:themeColor="text1"/>
          <w:szCs w:val="24"/>
          <w:lang w:val="pl-PL"/>
        </w:rPr>
        <w:t>4</w:t>
      </w:r>
    </w:p>
    <w:p w14:paraId="2276AF5C" w14:textId="77777777" w:rsidR="003D438C" w:rsidRPr="00D360EF" w:rsidRDefault="003D438C" w:rsidP="003D438C">
      <w:pPr>
        <w:rPr>
          <w:b/>
          <w:color w:val="000000" w:themeColor="text1"/>
          <w:szCs w:val="24"/>
          <w:lang w:val="pl-PL"/>
        </w:rPr>
      </w:pPr>
    </w:p>
    <w:p w14:paraId="3E32343E" w14:textId="77777777" w:rsidR="003D438C" w:rsidRPr="00D360EF" w:rsidRDefault="003D438C" w:rsidP="003D438C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D360EF">
        <w:rPr>
          <w:b/>
          <w:color w:val="000000" w:themeColor="text1"/>
          <w:szCs w:val="24"/>
          <w:lang w:val="pl-PL"/>
        </w:rPr>
        <w:t>POMOC W ZAKUPIE SPRZĘTU ELEKTRONICZNEGO LUB JEGO ELEMENTÓW ORAZ OPROGRAMOWANIA</w:t>
      </w:r>
    </w:p>
    <w:p w14:paraId="270AF482" w14:textId="77777777" w:rsidR="003D438C" w:rsidRDefault="003D438C" w:rsidP="003D438C">
      <w:pPr>
        <w:jc w:val="both"/>
        <w:rPr>
          <w:b/>
          <w:szCs w:val="24"/>
          <w:lang w:val="pl-PL"/>
        </w:rPr>
      </w:pPr>
    </w:p>
    <w:p w14:paraId="6A52EBBA" w14:textId="77777777" w:rsidR="003D438C" w:rsidRDefault="003D438C" w:rsidP="003D438C">
      <w:pPr>
        <w:jc w:val="both"/>
        <w:rPr>
          <w:b/>
          <w:color w:val="000000" w:themeColor="text1"/>
          <w:szCs w:val="24"/>
          <w:lang w:val="pl-PL"/>
        </w:rPr>
      </w:pPr>
      <w:r w:rsidRPr="00D360EF">
        <w:rPr>
          <w:b/>
          <w:szCs w:val="24"/>
          <w:lang w:val="pl-PL"/>
        </w:rPr>
        <w:t xml:space="preserve">Termin przyjmowania wniosków  </w:t>
      </w:r>
      <w:r w:rsidRPr="00D360EF">
        <w:rPr>
          <w:b/>
          <w:color w:val="000000" w:themeColor="text1"/>
          <w:szCs w:val="24"/>
          <w:lang w:val="pl-PL"/>
        </w:rPr>
        <w:tab/>
      </w:r>
      <w:r w:rsidRPr="00D360EF">
        <w:rPr>
          <w:b/>
          <w:color w:val="000000" w:themeColor="text1"/>
          <w:sz w:val="28"/>
          <w:szCs w:val="28"/>
          <w:lang w:val="pl-PL"/>
        </w:rPr>
        <w:t xml:space="preserve">od </w:t>
      </w:r>
      <w:r>
        <w:rPr>
          <w:b/>
          <w:color w:val="000000" w:themeColor="text1"/>
          <w:sz w:val="28"/>
          <w:szCs w:val="28"/>
          <w:lang w:val="pl-PL"/>
        </w:rPr>
        <w:t>01</w:t>
      </w:r>
      <w:r w:rsidRPr="00D360EF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D360EF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D360EF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D360EF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D360EF">
        <w:rPr>
          <w:b/>
          <w:color w:val="000000" w:themeColor="text1"/>
          <w:szCs w:val="24"/>
          <w:lang w:val="pl-PL"/>
        </w:rPr>
        <w:t xml:space="preserve"> </w:t>
      </w:r>
    </w:p>
    <w:p w14:paraId="0A2A29DF" w14:textId="77777777" w:rsidR="003D438C" w:rsidRPr="00D360EF" w:rsidRDefault="003D438C" w:rsidP="003D438C">
      <w:pPr>
        <w:jc w:val="both"/>
        <w:rPr>
          <w:b/>
          <w:color w:val="000000" w:themeColor="text1"/>
          <w:szCs w:val="24"/>
          <w:lang w:val="pl-PL"/>
        </w:rPr>
      </w:pPr>
    </w:p>
    <w:p w14:paraId="0E9507B0" w14:textId="77777777" w:rsidR="003D438C" w:rsidRPr="00273A08" w:rsidRDefault="003D438C" w:rsidP="003D438C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06549CD8" w14:textId="77777777" w:rsidR="003D438C" w:rsidRPr="00D360EF" w:rsidRDefault="003D438C" w:rsidP="003D438C">
      <w:pPr>
        <w:jc w:val="both"/>
        <w:rPr>
          <w:color w:val="auto"/>
          <w:szCs w:val="24"/>
          <w:lang w:val="pl-PL"/>
        </w:rPr>
      </w:pPr>
    </w:p>
    <w:p w14:paraId="7711BCE4" w14:textId="77777777" w:rsidR="003D438C" w:rsidRPr="00D360EF" w:rsidRDefault="003D438C" w:rsidP="003D438C">
      <w:pPr>
        <w:jc w:val="both"/>
        <w:rPr>
          <w:b/>
          <w:szCs w:val="24"/>
          <w:lang w:val="pl-PL"/>
        </w:rPr>
      </w:pPr>
      <w:r w:rsidRPr="00D360EF">
        <w:rPr>
          <w:b/>
          <w:szCs w:val="24"/>
          <w:lang w:val="pl-PL"/>
        </w:rPr>
        <w:t xml:space="preserve">WARUNKI UCZESTNICTWA : </w:t>
      </w:r>
    </w:p>
    <w:p w14:paraId="7E888065" w14:textId="77777777" w:rsidR="003D438C" w:rsidRPr="00D360EF" w:rsidRDefault="003D438C" w:rsidP="003D438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znaczny lub umiarkowany stopień niepełnosprawności lub w przypadku osób do 16 roku życia – orzeczenie o niepełnosprawności;</w:t>
      </w:r>
    </w:p>
    <w:p w14:paraId="55B28F69" w14:textId="77777777" w:rsidR="003D438C" w:rsidRPr="00D360EF" w:rsidRDefault="003D438C" w:rsidP="003D438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wiek do lat 18 lub wiek aktywności zawodowej lub zatrudnienie;</w:t>
      </w:r>
    </w:p>
    <w:p w14:paraId="3E349E90" w14:textId="77777777" w:rsidR="003D438C" w:rsidRPr="00D360EF" w:rsidRDefault="003D438C" w:rsidP="003D438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dysfunkcja narządu słuchu;</w:t>
      </w:r>
    </w:p>
    <w:p w14:paraId="03B3D7FA" w14:textId="77777777" w:rsidR="003D438C" w:rsidRPr="00D360EF" w:rsidRDefault="003D438C" w:rsidP="003D438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trudności w komunikowaniu się za pomocą mowy.</w:t>
      </w:r>
    </w:p>
    <w:p w14:paraId="2571473F" w14:textId="77777777" w:rsidR="003D438C" w:rsidRPr="00D360EF" w:rsidRDefault="003D438C" w:rsidP="003D438C">
      <w:pPr>
        <w:jc w:val="both"/>
        <w:rPr>
          <w:b/>
          <w:szCs w:val="24"/>
          <w:lang w:val="pl-PL"/>
        </w:rPr>
      </w:pPr>
      <w:r w:rsidRPr="00D360EF">
        <w:rPr>
          <w:b/>
          <w:szCs w:val="24"/>
          <w:lang w:val="pl-PL"/>
        </w:rPr>
        <w:t>WARUNKI WYKLUCZAJĄCE UCZESTNICTWO W PROGRAMIE:</w:t>
      </w:r>
    </w:p>
    <w:p w14:paraId="05C702EC" w14:textId="77777777" w:rsidR="003D438C" w:rsidRPr="00D360EF" w:rsidRDefault="003D438C" w:rsidP="003D438C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wymagalne zobowiązania wobec PFRON lub wobec realizatora programu.</w:t>
      </w:r>
    </w:p>
    <w:p w14:paraId="3EC7D2B4" w14:textId="77777777" w:rsidR="003D438C" w:rsidRDefault="003D438C" w:rsidP="003D438C">
      <w:pPr>
        <w:jc w:val="both"/>
        <w:rPr>
          <w:b/>
          <w:szCs w:val="24"/>
          <w:lang w:val="pl-PL"/>
        </w:rPr>
      </w:pPr>
      <w:r w:rsidRPr="00D360EF">
        <w:rPr>
          <w:b/>
          <w:szCs w:val="24"/>
          <w:lang w:val="pl-PL"/>
        </w:rPr>
        <w:t>DOFINANSOWANIE</w:t>
      </w:r>
      <w:r w:rsidRPr="00D360EF">
        <w:rPr>
          <w:szCs w:val="24"/>
          <w:lang w:val="pl-PL"/>
        </w:rPr>
        <w:t>: maksymalna kwota dofinansowania</w:t>
      </w:r>
      <w:r w:rsidRPr="00D360EF">
        <w:rPr>
          <w:b/>
          <w:szCs w:val="24"/>
          <w:lang w:val="pl-PL"/>
        </w:rPr>
        <w:t xml:space="preserve"> </w:t>
      </w:r>
      <w:r>
        <w:rPr>
          <w:b/>
          <w:szCs w:val="24"/>
          <w:lang w:val="pl-PL"/>
        </w:rPr>
        <w:t>4.000</w:t>
      </w:r>
      <w:r w:rsidRPr="00D360EF">
        <w:rPr>
          <w:b/>
          <w:szCs w:val="24"/>
          <w:lang w:val="pl-PL"/>
        </w:rPr>
        <w:t xml:space="preserve"> zł. </w:t>
      </w:r>
    </w:p>
    <w:p w14:paraId="12EB1B5C" w14:textId="77777777" w:rsidR="003D438C" w:rsidRPr="00D360EF" w:rsidRDefault="003D438C" w:rsidP="003D438C">
      <w:pPr>
        <w:jc w:val="both"/>
        <w:rPr>
          <w:b/>
          <w:szCs w:val="24"/>
          <w:lang w:val="pl-PL"/>
        </w:rPr>
      </w:pPr>
    </w:p>
    <w:p w14:paraId="60855556" w14:textId="77777777" w:rsidR="003D438C" w:rsidRDefault="003D438C" w:rsidP="003D438C">
      <w:pPr>
        <w:jc w:val="both"/>
        <w:rPr>
          <w:b/>
          <w:szCs w:val="24"/>
          <w:lang w:val="pl-PL"/>
        </w:rPr>
      </w:pPr>
      <w:r w:rsidRPr="00D360EF">
        <w:rPr>
          <w:b/>
          <w:szCs w:val="24"/>
          <w:lang w:val="pl-PL"/>
        </w:rPr>
        <w:t>UDZIAŁ WŁASNY WNIOSKODAWCY: co najmniej 10% ceny brutto zakupu/usługi.</w:t>
      </w:r>
    </w:p>
    <w:p w14:paraId="7627B7EE" w14:textId="77777777" w:rsidR="003D438C" w:rsidRPr="00D360EF" w:rsidRDefault="003D438C" w:rsidP="003D438C">
      <w:pPr>
        <w:jc w:val="both"/>
        <w:rPr>
          <w:b/>
          <w:szCs w:val="24"/>
          <w:lang w:val="pl-PL"/>
        </w:rPr>
      </w:pPr>
    </w:p>
    <w:p w14:paraId="6CC810AE" w14:textId="77777777" w:rsidR="003D438C" w:rsidRDefault="003D438C" w:rsidP="003D438C">
      <w:pPr>
        <w:jc w:val="both"/>
        <w:rPr>
          <w:szCs w:val="24"/>
          <w:lang w:val="pl-PL"/>
        </w:rPr>
      </w:pPr>
      <w:r w:rsidRPr="00D360EF">
        <w:rPr>
          <w:b/>
          <w:szCs w:val="24"/>
          <w:lang w:val="pl-PL"/>
        </w:rPr>
        <w:t xml:space="preserve">CZĘSTOTLIWOŚĆ UDZIELANIA POMOCY: </w:t>
      </w:r>
      <w:r w:rsidRPr="00D360EF">
        <w:rPr>
          <w:szCs w:val="24"/>
          <w:lang w:val="pl-PL"/>
        </w:rPr>
        <w:t xml:space="preserve">co 5 lat, licząc od początku roku następującego po roku, w którym udzielono pomocy. </w:t>
      </w:r>
    </w:p>
    <w:p w14:paraId="5234E0B7" w14:textId="77777777" w:rsidR="003D438C" w:rsidRPr="00D360EF" w:rsidRDefault="003D438C" w:rsidP="003D438C">
      <w:pPr>
        <w:jc w:val="both"/>
        <w:rPr>
          <w:szCs w:val="24"/>
          <w:lang w:val="pl-PL"/>
        </w:rPr>
      </w:pPr>
      <w:r w:rsidRPr="00D360EF">
        <w:rPr>
          <w:szCs w:val="24"/>
          <w:lang w:val="pl-PL"/>
        </w:rPr>
        <w:t xml:space="preserve"> </w:t>
      </w:r>
    </w:p>
    <w:p w14:paraId="519DAFE9" w14:textId="77777777" w:rsidR="003D438C" w:rsidRDefault="003D438C" w:rsidP="003D438C">
      <w:pPr>
        <w:jc w:val="both"/>
        <w:rPr>
          <w:b/>
          <w:u w:val="single"/>
          <w:lang w:val="pl-PL"/>
        </w:rPr>
      </w:pPr>
      <w:r w:rsidRPr="00D360EF">
        <w:rPr>
          <w:b/>
          <w:u w:val="single"/>
          <w:lang w:val="pl-PL"/>
        </w:rPr>
        <w:t>ZAKRES POJĘĆ</w:t>
      </w:r>
      <w:r>
        <w:rPr>
          <w:b/>
          <w:u w:val="single"/>
          <w:lang w:val="pl-PL"/>
        </w:rPr>
        <w:t xml:space="preserve">: </w:t>
      </w:r>
    </w:p>
    <w:p w14:paraId="297258E9" w14:textId="77777777" w:rsidR="003D438C" w:rsidRPr="00D360EF" w:rsidRDefault="003D438C" w:rsidP="003D438C">
      <w:pPr>
        <w:jc w:val="both"/>
        <w:rPr>
          <w:b/>
          <w:sz w:val="22"/>
          <w:szCs w:val="22"/>
          <w:u w:val="single"/>
          <w:lang w:val="pl-PL"/>
        </w:rPr>
      </w:pPr>
    </w:p>
    <w:p w14:paraId="22C99F43" w14:textId="77777777" w:rsidR="003D438C" w:rsidRDefault="003D438C" w:rsidP="003D438C">
      <w:pPr>
        <w:jc w:val="both"/>
        <w:rPr>
          <w:lang w:val="pl-PL"/>
        </w:rPr>
      </w:pPr>
      <w:r w:rsidRPr="00D360EF">
        <w:rPr>
          <w:b/>
          <w:lang w:val="pl-PL"/>
        </w:rPr>
        <w:t xml:space="preserve">DYSFUNKCJA NARZĄDU SŁUCHU – </w:t>
      </w:r>
      <w:r w:rsidRPr="00D360EF">
        <w:rPr>
          <w:lang w:val="pl-PL"/>
        </w:rPr>
        <w:t>należy przez to rozumieć dysfunkcję narządu słuchu stanowiącą powód wydania orzeczenia o znacznym lub umiarkowanym stopniu niepełnosprawności, a w przypadku, gdy orzeczenie jest wydane z innego powodu</w:t>
      </w:r>
      <w:r>
        <w:rPr>
          <w:lang w:val="pl-PL"/>
        </w:rPr>
        <w:t xml:space="preserve"> lub wniosek                  w Obszarze B Zadanie 4 dotyczy osoby niepełnosprawnej w wieku do lat 16</w:t>
      </w:r>
      <w:r w:rsidRPr="00D360EF">
        <w:rPr>
          <w:lang w:val="pl-PL"/>
        </w:rPr>
        <w:t xml:space="preserve"> – ubytek słuchu powyżej 70 decybeli (</w:t>
      </w:r>
      <w:proofErr w:type="spellStart"/>
      <w:r w:rsidRPr="00D360EF">
        <w:rPr>
          <w:lang w:val="pl-PL"/>
        </w:rPr>
        <w:t>db</w:t>
      </w:r>
      <w:proofErr w:type="spellEnd"/>
      <w:r w:rsidRPr="00D360EF">
        <w:rPr>
          <w:lang w:val="pl-PL"/>
        </w:rPr>
        <w:t>)</w:t>
      </w:r>
      <w:r>
        <w:rPr>
          <w:lang w:val="pl-PL"/>
        </w:rPr>
        <w:t xml:space="preserve"> w uchu lepszym</w:t>
      </w:r>
      <w:r w:rsidRPr="00D360EF">
        <w:rPr>
          <w:lang w:val="pl-PL"/>
        </w:rPr>
        <w:t xml:space="preserve">, stan ten musi być potwierdzony w odpowiednim dokumencie lub zaświadczeniu wydanym przez lekarza specjalistę. </w:t>
      </w:r>
    </w:p>
    <w:p w14:paraId="2BEFA528" w14:textId="77777777" w:rsidR="003D438C" w:rsidRDefault="003D438C" w:rsidP="003D438C">
      <w:pPr>
        <w:jc w:val="both"/>
        <w:rPr>
          <w:lang w:val="pl-PL"/>
        </w:rPr>
      </w:pPr>
    </w:p>
    <w:p w14:paraId="239FC4E0" w14:textId="27D77A7B" w:rsidR="003D438C" w:rsidRDefault="003D438C" w:rsidP="003D438C">
      <w:pPr>
        <w:jc w:val="both"/>
        <w:rPr>
          <w:lang w:val="pl-PL"/>
        </w:rPr>
      </w:pPr>
      <w:r w:rsidRPr="00CF6C93">
        <w:rPr>
          <w:b/>
          <w:lang w:val="pl-PL"/>
        </w:rPr>
        <w:t xml:space="preserve">SPRZĘT ELEKTRONICZNY LUB JEGO ELEMENTY LUB OPROGRAMOWANIE – </w:t>
      </w:r>
      <w:r w:rsidRPr="00CF6C93">
        <w:rPr>
          <w:lang w:val="pl-PL"/>
        </w:rPr>
        <w:t xml:space="preserve">należy przez to rozumieć komputer ( stacjonarny lub mobilny) oraz/lub współpracujące z nim urządzenia i dedykowane oprogramowanie, umożliwiające ograniczenie skutków rodzaju </w:t>
      </w:r>
      <w:r>
        <w:rPr>
          <w:lang w:val="pl-PL"/>
        </w:rPr>
        <w:t xml:space="preserve">                           </w:t>
      </w:r>
      <w:r w:rsidRPr="00CF6C93">
        <w:rPr>
          <w:lang w:val="pl-PL"/>
        </w:rPr>
        <w:t xml:space="preserve">i stopnia niepełnosprawności (z uwzględnieniem definicji urządzeń brajlowskich), głównym kryterium uznania kwalifikowalności danego kosztu są indywidualne i specyficzne dla danego rodzaju dysfunkcji – potrzeby związane z rehabilitacją zawodową i społeczną potencjalnego </w:t>
      </w:r>
      <w:r w:rsidRPr="00CF6C93">
        <w:rPr>
          <w:lang w:val="pl-PL"/>
        </w:rPr>
        <w:lastRenderedPageBreak/>
        <w:t>beneficjenta.</w:t>
      </w:r>
    </w:p>
    <w:p w14:paraId="0654FA07" w14:textId="77777777" w:rsidR="003D438C" w:rsidRDefault="003D438C" w:rsidP="003D438C">
      <w:pPr>
        <w:jc w:val="both"/>
        <w:rPr>
          <w:b/>
          <w:lang w:val="pl-PL"/>
        </w:rPr>
      </w:pPr>
    </w:p>
    <w:p w14:paraId="0508964B" w14:textId="77777777" w:rsidR="003D438C" w:rsidRPr="00CF6C93" w:rsidRDefault="003D438C" w:rsidP="003D438C">
      <w:pPr>
        <w:jc w:val="both"/>
        <w:rPr>
          <w:lang w:val="pl-PL"/>
        </w:rPr>
      </w:pPr>
      <w:r w:rsidRPr="00CF6C93">
        <w:rPr>
          <w:b/>
          <w:lang w:val="pl-PL"/>
        </w:rPr>
        <w:t xml:space="preserve">WIEK AKTYWNOŚCI ZAWODOWEJ – </w:t>
      </w:r>
      <w:r w:rsidRPr="00CF6C93">
        <w:rPr>
          <w:lang w:val="pl-PL"/>
        </w:rPr>
        <w:t>należy przez to rozumieć pełnoletnie osoby, które nie osiągnęły wieku emerytalnego.</w:t>
      </w:r>
    </w:p>
    <w:p w14:paraId="357A741E" w14:textId="77777777" w:rsidR="003D438C" w:rsidRDefault="003D438C" w:rsidP="003D438C">
      <w:pPr>
        <w:jc w:val="both"/>
        <w:rPr>
          <w:b/>
          <w:lang w:val="pl-PL"/>
        </w:rPr>
      </w:pPr>
    </w:p>
    <w:p w14:paraId="35C57791" w14:textId="77777777" w:rsidR="003D438C" w:rsidRDefault="003D438C" w:rsidP="003D438C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7388D941" w14:textId="77777777" w:rsidR="003D438C" w:rsidRDefault="003D438C" w:rsidP="003D438C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64037BD0" w14:textId="77777777" w:rsidR="003D438C" w:rsidRDefault="003D438C" w:rsidP="003D438C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74B1B54C" w14:textId="77777777" w:rsidR="003D438C" w:rsidRPr="009B5504" w:rsidRDefault="003D438C" w:rsidP="003D438C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60852389" w14:textId="77777777" w:rsidR="003D438C" w:rsidRDefault="003D438C" w:rsidP="003D438C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</w:t>
      </w: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6EB13395" w14:textId="77777777" w:rsidR="003D438C" w:rsidRPr="009B5504" w:rsidRDefault="003D438C" w:rsidP="003D438C">
      <w:pPr>
        <w:jc w:val="both"/>
        <w:rPr>
          <w:lang w:val="pl-PL"/>
        </w:rPr>
      </w:pPr>
    </w:p>
    <w:p w14:paraId="1F14BBCA" w14:textId="77777777" w:rsidR="003D438C" w:rsidRDefault="003D438C" w:rsidP="003D438C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rozumieć:</w:t>
      </w:r>
    </w:p>
    <w:p w14:paraId="7974F425" w14:textId="77777777" w:rsidR="003D438C" w:rsidRDefault="003D438C" w:rsidP="003D438C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s</w:t>
      </w:r>
      <w:r w:rsidRPr="00200E1C">
        <w:rPr>
          <w:lang w:val="pl-PL"/>
        </w:rPr>
        <w:t>tosunek pracy na podstawie umowy o pracę, zawartej na czas nieokreślony lub określony, jednakże nie krótszy niż 3 miesiące,</w:t>
      </w:r>
    </w:p>
    <w:p w14:paraId="16C71F63" w14:textId="77777777" w:rsidR="003D438C" w:rsidRPr="009B5504" w:rsidRDefault="003D438C" w:rsidP="003D438C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700BDAD3" w14:textId="77777777" w:rsidR="003D438C" w:rsidRPr="009B5504" w:rsidRDefault="003D438C" w:rsidP="003D438C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11D6C3E5" w14:textId="77777777" w:rsidR="003D438C" w:rsidRPr="009B5504" w:rsidRDefault="003D438C" w:rsidP="003D438C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7725E9C0" w14:textId="77777777" w:rsidR="003D438C" w:rsidRPr="009B5504" w:rsidRDefault="003D438C" w:rsidP="003D438C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0485687C" w14:textId="77777777" w:rsidR="003D438C" w:rsidRDefault="003D438C" w:rsidP="003D438C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0D0608BC" w14:textId="77777777" w:rsidR="003D438C" w:rsidRDefault="003D438C" w:rsidP="003D438C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wolontariat w rozumieniu ustawy z dnia 24 kwietnia 2003 r. o działalności pożytku publicznego i o wolontariacie (Dz. U. z 2020 r. poz. 1057), jeśli porozumienie                                  z korzystającym obejmuje co najmniej 6 miesięcy i trwa na dzień złożenia wniosku oraz zawarcia umowy dofinansowania</w:t>
      </w:r>
      <w:r w:rsidRPr="009B5504">
        <w:rPr>
          <w:lang w:val="pl-PL"/>
        </w:rPr>
        <w:t>.</w:t>
      </w:r>
    </w:p>
    <w:p w14:paraId="3B89C3CD" w14:textId="77777777" w:rsidR="003D438C" w:rsidRPr="00C4537C" w:rsidRDefault="003D438C" w:rsidP="003D438C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Pr="00B9637C">
        <w:rPr>
          <w:lang w:val="pl-PL"/>
        </w:rPr>
        <w:t>zatrudnienia wnioskodawcy w ramach ww. mogą się sumować, jeśli następują po sobie w okresie nie dłuższym niż 30 dni, przy czym czas przerwy nie wlicza się w okres zatrudnienia.</w:t>
      </w:r>
    </w:p>
    <w:p w14:paraId="2F296F75" w14:textId="77777777" w:rsidR="003D438C" w:rsidRDefault="003D438C" w:rsidP="003D438C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63A5A921" w14:textId="77777777" w:rsidR="003D438C" w:rsidRDefault="003D438C" w:rsidP="003D438C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207F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655637B8" w14:textId="77777777" w:rsidR="003D438C" w:rsidRPr="00200E1C" w:rsidRDefault="003D438C" w:rsidP="003D438C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00E1C">
        <w:rPr>
          <w:lang w:val="pl-PL"/>
        </w:rPr>
        <w:t>w</w:t>
      </w:r>
      <w:r>
        <w:rPr>
          <w:lang w:val="pl-PL"/>
        </w:rPr>
        <w:t xml:space="preserve"> </w:t>
      </w:r>
      <w:r w:rsidRPr="00200E1C">
        <w:rPr>
          <w:lang w:val="pl-PL"/>
        </w:rPr>
        <w:t>odniesieniu do zobowiązań publicznoprawnych, wynikających z decyzji administracyjnych wydawanych na podstawie przepisów k.p.a. – zobowiązania:</w:t>
      </w:r>
    </w:p>
    <w:p w14:paraId="37A47ACA" w14:textId="6CA9ECEF" w:rsidR="003D438C" w:rsidRPr="00406A5D" w:rsidRDefault="003D438C" w:rsidP="003D438C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 xml:space="preserve">z upływem dnia, w którym decyzja stała się ostateczna – w przypadku decyzji, </w:t>
      </w:r>
      <w:r>
        <w:rPr>
          <w:lang w:val="pl-PL"/>
        </w:rPr>
        <w:t xml:space="preserve">                                </w:t>
      </w:r>
      <w:r w:rsidRPr="00406A5D">
        <w:rPr>
          <w:lang w:val="pl-PL"/>
        </w:rPr>
        <w:t>w których nie wskazano terminu płatności,</w:t>
      </w:r>
    </w:p>
    <w:p w14:paraId="4FA4DDB9" w14:textId="4DF36CF5" w:rsidR="003D438C" w:rsidRDefault="003D438C" w:rsidP="003D438C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 </w:t>
      </w:r>
      <w:r>
        <w:rPr>
          <w:lang w:val="pl-PL"/>
        </w:rPr>
        <w:t xml:space="preserve">                                </w:t>
      </w:r>
      <w:r w:rsidRPr="00406A5D">
        <w:rPr>
          <w:lang w:val="pl-PL"/>
        </w:rPr>
        <w:t>z oznaczonym terminem płatności,</w:t>
      </w:r>
    </w:p>
    <w:p w14:paraId="0EA7CEA5" w14:textId="56AF4909" w:rsidR="003D438C" w:rsidRDefault="003D438C" w:rsidP="003D438C">
      <w:pPr>
        <w:pStyle w:val="Akapitzlist"/>
        <w:jc w:val="both"/>
        <w:rPr>
          <w:lang w:val="pl-PL"/>
        </w:rPr>
      </w:pPr>
    </w:p>
    <w:p w14:paraId="00D1A3E7" w14:textId="77777777" w:rsidR="003D438C" w:rsidRDefault="003D438C" w:rsidP="003D438C">
      <w:pPr>
        <w:pStyle w:val="Akapitzlist"/>
        <w:jc w:val="both"/>
        <w:rPr>
          <w:lang w:val="pl-PL"/>
        </w:rPr>
      </w:pPr>
    </w:p>
    <w:p w14:paraId="02DAE4AB" w14:textId="7CAC80AF" w:rsidR="003D438C" w:rsidRPr="00200E1C" w:rsidRDefault="003D438C" w:rsidP="003D438C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22831B29" w14:textId="77777777" w:rsidR="003D438C" w:rsidRDefault="003D438C" w:rsidP="003D438C">
      <w:pPr>
        <w:jc w:val="both"/>
        <w:rPr>
          <w:b/>
          <w:lang w:val="pl-PL"/>
        </w:rPr>
      </w:pPr>
    </w:p>
    <w:p w14:paraId="1AB5BFBA" w14:textId="44C55C5C" w:rsidR="003D438C" w:rsidRPr="006D00F7" w:rsidRDefault="003D438C" w:rsidP="003D438C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</w:t>
      </w:r>
      <w:r>
        <w:rPr>
          <w:lang w:val="pl-PL"/>
        </w:rPr>
        <w:t xml:space="preserve">                                      </w:t>
      </w:r>
      <w:r w:rsidRPr="006D00F7">
        <w:rPr>
          <w:lang w:val="pl-PL"/>
        </w:rPr>
        <w:t xml:space="preserve">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49890628" w14:textId="77777777" w:rsidR="003D438C" w:rsidRPr="00186C1D" w:rsidRDefault="003D438C" w:rsidP="003D438C">
      <w:pPr>
        <w:jc w:val="both"/>
        <w:rPr>
          <w:lang w:val="pl-PL"/>
        </w:rPr>
      </w:pPr>
    </w:p>
    <w:p w14:paraId="28BE003A" w14:textId="77777777" w:rsidR="003D438C" w:rsidRPr="00D360EF" w:rsidRDefault="003D438C" w:rsidP="003D438C">
      <w:pPr>
        <w:jc w:val="both"/>
        <w:rPr>
          <w:lang w:val="pl-PL"/>
        </w:rPr>
      </w:pPr>
    </w:p>
    <w:p w14:paraId="00389AD1" w14:textId="77777777" w:rsidR="005F4479" w:rsidRDefault="005F4479"/>
    <w:sectPr w:rsidR="005F4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DDB57" w14:textId="77777777" w:rsidR="001E6C2D" w:rsidRDefault="001E6C2D" w:rsidP="003D438C">
      <w:pPr>
        <w:spacing w:line="240" w:lineRule="auto"/>
      </w:pPr>
      <w:r>
        <w:separator/>
      </w:r>
    </w:p>
  </w:endnote>
  <w:endnote w:type="continuationSeparator" w:id="0">
    <w:p w14:paraId="013AA2F0" w14:textId="77777777" w:rsidR="001E6C2D" w:rsidRDefault="001E6C2D" w:rsidP="003D4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79D58" w14:textId="77777777" w:rsidR="001E6C2D" w:rsidRDefault="001E6C2D" w:rsidP="003D438C">
      <w:pPr>
        <w:spacing w:line="240" w:lineRule="auto"/>
      </w:pPr>
      <w:r>
        <w:separator/>
      </w:r>
    </w:p>
  </w:footnote>
  <w:footnote w:type="continuationSeparator" w:id="0">
    <w:p w14:paraId="5E1E2F18" w14:textId="77777777" w:rsidR="001E6C2D" w:rsidRDefault="001E6C2D" w:rsidP="003D4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4353" w14:textId="0A8F0BDC" w:rsidR="003D438C" w:rsidRDefault="003D438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4A7110" wp14:editId="30D3D5B2">
          <wp:simplePos x="0" y="0"/>
          <wp:positionH relativeFrom="column">
            <wp:posOffset>4267200</wp:posOffset>
          </wp:positionH>
          <wp:positionV relativeFrom="paragraph">
            <wp:posOffset>-57785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A9E943" wp14:editId="0A50970B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1A18B842" wp14:editId="68B00D05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FBD668" w14:textId="77777777" w:rsidR="003D438C" w:rsidRDefault="003D4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4C84"/>
    <w:multiLevelType w:val="hybridMultilevel"/>
    <w:tmpl w:val="A912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286EF3"/>
    <w:multiLevelType w:val="hybridMultilevel"/>
    <w:tmpl w:val="CFB4D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8C"/>
    <w:rsid w:val="001E6C2D"/>
    <w:rsid w:val="003D438C"/>
    <w:rsid w:val="005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0DBC"/>
  <w15:chartTrackingRefBased/>
  <w15:docId w15:val="{A041E563-BB1F-4103-B586-5E903E74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38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3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38C"/>
  </w:style>
  <w:style w:type="paragraph" w:styleId="Stopka">
    <w:name w:val="footer"/>
    <w:basedOn w:val="Normalny"/>
    <w:link w:val="StopkaZnak"/>
    <w:uiPriority w:val="99"/>
    <w:unhideWhenUsed/>
    <w:rsid w:val="003D43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38C"/>
  </w:style>
  <w:style w:type="paragraph" w:styleId="Akapitzlist">
    <w:name w:val="List Paragraph"/>
    <w:basedOn w:val="Normalny"/>
    <w:uiPriority w:val="34"/>
    <w:qFormat/>
    <w:rsid w:val="003D4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2021-02-26T13:37:00Z</dcterms:created>
  <dcterms:modified xsi:type="dcterms:W3CDTF">2021-02-26T13:42:00Z</dcterms:modified>
</cp:coreProperties>
</file>