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BDE14" w14:textId="77777777" w:rsidR="002D2E90" w:rsidRDefault="002D2E90" w:rsidP="002D2E90">
      <w:pPr>
        <w:rPr>
          <w:b/>
          <w:szCs w:val="24"/>
          <w:u w:val="single"/>
          <w:lang w:val="pl-PL"/>
        </w:rPr>
      </w:pPr>
      <w:r w:rsidRPr="00885BFF">
        <w:rPr>
          <w:b/>
          <w:szCs w:val="24"/>
          <w:u w:val="single"/>
          <w:lang w:val="pl-PL"/>
        </w:rPr>
        <w:t>INFORMACJA</w:t>
      </w:r>
    </w:p>
    <w:p w14:paraId="18138567" w14:textId="77777777" w:rsidR="002D2E90" w:rsidRPr="00885BFF" w:rsidRDefault="002D2E90" w:rsidP="002D2E90">
      <w:pPr>
        <w:rPr>
          <w:b/>
          <w:color w:val="auto"/>
          <w:kern w:val="0"/>
          <w:szCs w:val="24"/>
          <w:u w:val="single"/>
          <w:lang w:val="pl-PL"/>
        </w:rPr>
      </w:pPr>
    </w:p>
    <w:p w14:paraId="3FF1759E" w14:textId="77777777" w:rsidR="002D2E90" w:rsidRDefault="002D2E90" w:rsidP="002D2E90">
      <w:pPr>
        <w:rPr>
          <w:b/>
          <w:color w:val="000000" w:themeColor="text1"/>
          <w:szCs w:val="24"/>
          <w:lang w:val="pl-PL"/>
        </w:rPr>
      </w:pPr>
      <w:r w:rsidRPr="00885BFF">
        <w:rPr>
          <w:b/>
          <w:color w:val="000000" w:themeColor="text1"/>
          <w:szCs w:val="24"/>
          <w:lang w:val="pl-PL"/>
        </w:rPr>
        <w:t xml:space="preserve">Moduł I Obszar C – Zadanie 2 </w:t>
      </w:r>
    </w:p>
    <w:p w14:paraId="2D3A06E4" w14:textId="77777777" w:rsidR="002D2E90" w:rsidRPr="00885BFF" w:rsidRDefault="002D2E90" w:rsidP="002D2E90">
      <w:pPr>
        <w:rPr>
          <w:b/>
          <w:color w:val="000000" w:themeColor="text1"/>
          <w:szCs w:val="24"/>
          <w:lang w:val="pl-PL"/>
        </w:rPr>
      </w:pPr>
    </w:p>
    <w:p w14:paraId="26272029" w14:textId="77777777" w:rsidR="002D2E90" w:rsidRPr="00885BFF" w:rsidRDefault="002D2E90" w:rsidP="002D2E90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885BFF">
        <w:rPr>
          <w:b/>
          <w:color w:val="000000" w:themeColor="text1"/>
          <w:szCs w:val="24"/>
          <w:lang w:val="pl-PL"/>
        </w:rPr>
        <w:t xml:space="preserve">POMOC W UTRZYMANIU SPRAWNOŚCI TECHNICZNEJ POSIADANEGO SKUTERA LUB WÓZKA INWALIDZKIEGO O NAPĘDZIE ELEKTRYCZNYM </w:t>
      </w:r>
    </w:p>
    <w:p w14:paraId="46099BBD" w14:textId="77777777" w:rsidR="002D2E90" w:rsidRDefault="002D2E90" w:rsidP="002D2E90">
      <w:pPr>
        <w:jc w:val="both"/>
        <w:rPr>
          <w:b/>
          <w:szCs w:val="24"/>
          <w:lang w:val="pl-PL"/>
        </w:rPr>
      </w:pPr>
    </w:p>
    <w:p w14:paraId="79A86923" w14:textId="77777777" w:rsidR="002D2E90" w:rsidRDefault="002D2E90" w:rsidP="002D2E90">
      <w:pPr>
        <w:jc w:val="both"/>
        <w:rPr>
          <w:b/>
          <w:color w:val="000000" w:themeColor="text1"/>
          <w:szCs w:val="24"/>
          <w:lang w:val="pl-PL"/>
        </w:rPr>
      </w:pPr>
      <w:r w:rsidRPr="00885BFF">
        <w:rPr>
          <w:b/>
          <w:szCs w:val="24"/>
          <w:lang w:val="pl-PL"/>
        </w:rPr>
        <w:t xml:space="preserve">Termin przyjmowania wniosków  </w:t>
      </w:r>
      <w:r w:rsidRPr="00885BFF">
        <w:rPr>
          <w:b/>
          <w:color w:val="000000" w:themeColor="text1"/>
          <w:szCs w:val="24"/>
          <w:lang w:val="pl-PL"/>
        </w:rPr>
        <w:tab/>
      </w:r>
      <w:r w:rsidRPr="00885BFF">
        <w:rPr>
          <w:b/>
          <w:color w:val="000000" w:themeColor="text1"/>
          <w:sz w:val="28"/>
          <w:szCs w:val="28"/>
          <w:lang w:val="pl-PL"/>
        </w:rPr>
        <w:t>od 0</w:t>
      </w:r>
      <w:r>
        <w:rPr>
          <w:b/>
          <w:color w:val="000000" w:themeColor="text1"/>
          <w:sz w:val="28"/>
          <w:szCs w:val="28"/>
          <w:lang w:val="pl-PL"/>
        </w:rPr>
        <w:t>1</w:t>
      </w:r>
      <w:r w:rsidRPr="00885BFF">
        <w:rPr>
          <w:b/>
          <w:color w:val="000000" w:themeColor="text1"/>
          <w:sz w:val="28"/>
          <w:szCs w:val="28"/>
          <w:lang w:val="pl-PL"/>
        </w:rPr>
        <w:t>.0</w:t>
      </w:r>
      <w:r>
        <w:rPr>
          <w:b/>
          <w:color w:val="000000" w:themeColor="text1"/>
          <w:sz w:val="28"/>
          <w:szCs w:val="28"/>
          <w:lang w:val="pl-PL"/>
        </w:rPr>
        <w:t>3</w:t>
      </w:r>
      <w:r w:rsidRPr="00885BFF">
        <w:rPr>
          <w:b/>
          <w:color w:val="000000" w:themeColor="text1"/>
          <w:sz w:val="28"/>
          <w:szCs w:val="28"/>
          <w:lang w:val="pl-PL"/>
        </w:rPr>
        <w:t>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885BFF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885BFF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885BFF">
        <w:rPr>
          <w:b/>
          <w:color w:val="000000" w:themeColor="text1"/>
          <w:szCs w:val="24"/>
          <w:lang w:val="pl-PL"/>
        </w:rPr>
        <w:t xml:space="preserve"> </w:t>
      </w:r>
    </w:p>
    <w:p w14:paraId="4CD66EDB" w14:textId="77777777" w:rsidR="002D2E90" w:rsidRPr="00885BFF" w:rsidRDefault="002D2E90" w:rsidP="002D2E90">
      <w:pPr>
        <w:jc w:val="both"/>
        <w:rPr>
          <w:b/>
          <w:color w:val="000000" w:themeColor="text1"/>
          <w:szCs w:val="24"/>
          <w:lang w:val="pl-PL"/>
        </w:rPr>
      </w:pPr>
    </w:p>
    <w:p w14:paraId="5967AD3C" w14:textId="77777777" w:rsidR="002D2E90" w:rsidRPr="00273A08" w:rsidRDefault="002D2E90" w:rsidP="002D2E90">
      <w:pPr>
        <w:jc w:val="both"/>
        <w:rPr>
          <w:szCs w:val="24"/>
          <w:lang w:val="pl-PL"/>
        </w:rPr>
      </w:pPr>
      <w:proofErr w:type="spellStart"/>
      <w:r w:rsidRPr="00273A08">
        <w:rPr>
          <w:color w:val="000000" w:themeColor="text1"/>
          <w:szCs w:val="24"/>
          <w:shd w:val="clear" w:color="auto" w:fill="FFFFFF"/>
        </w:rPr>
        <w:t>Wnioski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można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składać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w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wersji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elektronicznej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za </w:t>
      </w:r>
      <w:proofErr w:type="spellStart"/>
      <w:r w:rsidRPr="00273A08">
        <w:rPr>
          <w:b/>
          <w:bCs/>
          <w:color w:val="000000" w:themeColor="text1"/>
          <w:szCs w:val="24"/>
          <w:shd w:val="clear" w:color="auto" w:fill="FFFFFF"/>
        </w:rPr>
        <w:t>pośrednictwem</w:t>
      </w:r>
      <w:proofErr w:type="spellEnd"/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 platformy SOW</w:t>
      </w:r>
      <w:r w:rsidRPr="00273A08">
        <w:rPr>
          <w:color w:val="000000" w:themeColor="text1"/>
          <w:szCs w:val="24"/>
          <w:shd w:val="clear" w:color="auto" w:fill="FFFFFF"/>
        </w:rPr>
        <w:t xml:space="preserve"> (</w:t>
      </w:r>
      <w:hyperlink r:id="rId7" w:history="1">
        <w:r w:rsidRPr="00273A08">
          <w:rPr>
            <w:rStyle w:val="Hipercze"/>
            <w:color w:val="000000" w:themeColor="text1"/>
            <w:szCs w:val="24"/>
            <w:bdr w:val="none" w:sz="0" w:space="0" w:color="auto" w:frame="1"/>
            <w:shd w:val="clear" w:color="auto" w:fill="FFFFFF"/>
          </w:rPr>
          <w:t>https://sow.pfron.org.pl</w:t>
        </w:r>
      </w:hyperlink>
      <w:r w:rsidRPr="00273A08">
        <w:rPr>
          <w:color w:val="000000" w:themeColor="text1"/>
          <w:szCs w:val="24"/>
          <w:shd w:val="clear" w:color="auto" w:fill="FFFFFF"/>
        </w:rPr>
        <w:t xml:space="preserve">) </w:t>
      </w:r>
      <w:r w:rsidRPr="00273A08">
        <w:rPr>
          <w:b/>
          <w:color w:val="000000" w:themeColor="text1"/>
          <w:szCs w:val="24"/>
          <w:lang w:val="pl-PL"/>
        </w:rPr>
        <w:t xml:space="preserve">lub w formie papierowej </w:t>
      </w:r>
      <w:r w:rsidRPr="00273A08">
        <w:rPr>
          <w:bCs/>
          <w:color w:val="000000" w:themeColor="text1"/>
          <w:szCs w:val="24"/>
          <w:lang w:val="pl-PL"/>
        </w:rPr>
        <w:t>w</w:t>
      </w:r>
      <w:r w:rsidRPr="00273A08">
        <w:rPr>
          <w:b/>
          <w:color w:val="000000" w:themeColor="text1"/>
          <w:szCs w:val="24"/>
          <w:lang w:val="pl-PL"/>
        </w:rPr>
        <w:t xml:space="preserve"> </w:t>
      </w:r>
      <w:r w:rsidRPr="00273A08">
        <w:rPr>
          <w:szCs w:val="24"/>
          <w:lang w:val="pl-PL"/>
        </w:rPr>
        <w:t>Powiatowym  Centrum Pomocy Rodzinie w Polkowicach ul. św. Sebastiana 1A, 59-100 Polkowice (pok. nr 16). Dotyczy wnioskodawców zamieszkujących na terenie Powiatu Polkowickiego.</w:t>
      </w:r>
    </w:p>
    <w:p w14:paraId="796DC34A" w14:textId="77777777" w:rsidR="002D2E90" w:rsidRPr="00885BFF" w:rsidRDefault="002D2E90" w:rsidP="002D2E90">
      <w:pPr>
        <w:jc w:val="both"/>
        <w:rPr>
          <w:color w:val="auto"/>
          <w:szCs w:val="24"/>
          <w:lang w:val="pl-PL"/>
        </w:rPr>
      </w:pPr>
    </w:p>
    <w:p w14:paraId="02E9EEB0" w14:textId="77777777" w:rsidR="002D2E90" w:rsidRPr="00885BFF" w:rsidRDefault="002D2E90" w:rsidP="002D2E90">
      <w:pPr>
        <w:jc w:val="both"/>
        <w:rPr>
          <w:b/>
          <w:szCs w:val="24"/>
          <w:lang w:val="pl-PL"/>
        </w:rPr>
      </w:pPr>
      <w:r w:rsidRPr="00885BFF">
        <w:rPr>
          <w:b/>
          <w:szCs w:val="24"/>
          <w:lang w:val="pl-PL"/>
        </w:rPr>
        <w:t xml:space="preserve">WARUNKI UCZESTNICTWA : </w:t>
      </w:r>
    </w:p>
    <w:p w14:paraId="637692B4" w14:textId="77777777" w:rsidR="002D2E90" w:rsidRPr="00885BFF" w:rsidRDefault="002D2E90" w:rsidP="002D2E90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885BFF">
        <w:rPr>
          <w:szCs w:val="24"/>
          <w:lang w:val="pl-PL"/>
        </w:rPr>
        <w:t xml:space="preserve">znaczny stopień niepełnosprawności lub w przypadku osób do 16 roku życia – orzeczenie o niepełnosprawności </w:t>
      </w:r>
    </w:p>
    <w:p w14:paraId="56E6E925" w14:textId="77777777" w:rsidR="002D2E90" w:rsidRPr="00885BFF" w:rsidRDefault="002D2E90" w:rsidP="002D2E90">
      <w:pPr>
        <w:jc w:val="both"/>
        <w:rPr>
          <w:b/>
          <w:szCs w:val="24"/>
          <w:lang w:val="pl-PL"/>
        </w:rPr>
      </w:pPr>
      <w:r w:rsidRPr="00885BFF">
        <w:rPr>
          <w:b/>
          <w:szCs w:val="24"/>
          <w:lang w:val="pl-PL"/>
        </w:rPr>
        <w:t>WARUNKI WYKLUCZAJĄCE UCZESTNICTWO W PROGRAMIE:</w:t>
      </w:r>
    </w:p>
    <w:p w14:paraId="738B148B" w14:textId="77777777" w:rsidR="002D2E90" w:rsidRPr="00885BFF" w:rsidRDefault="002D2E90" w:rsidP="002D2E90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885BFF">
        <w:rPr>
          <w:szCs w:val="24"/>
          <w:lang w:val="pl-PL"/>
        </w:rPr>
        <w:t>wymagalne zobowiązania wobec PFRON lub wobec realizatora programu.</w:t>
      </w:r>
    </w:p>
    <w:p w14:paraId="39A00C1C" w14:textId="77777777" w:rsidR="002D2E90" w:rsidRDefault="002D2E90" w:rsidP="002D2E90">
      <w:pPr>
        <w:jc w:val="both"/>
        <w:rPr>
          <w:b/>
          <w:szCs w:val="24"/>
          <w:lang w:val="pl-PL"/>
        </w:rPr>
      </w:pPr>
      <w:r w:rsidRPr="00885BFF">
        <w:rPr>
          <w:b/>
          <w:szCs w:val="24"/>
          <w:lang w:val="pl-PL"/>
        </w:rPr>
        <w:t>DOFINANSOWANIE LUB REFUNDACJA KOSZTÓW</w:t>
      </w:r>
      <w:r w:rsidRPr="00885BFF">
        <w:rPr>
          <w:szCs w:val="24"/>
          <w:lang w:val="pl-PL"/>
        </w:rPr>
        <w:t>: maksymalna kwota dofinansowania</w:t>
      </w:r>
      <w:r w:rsidRPr="00885BFF">
        <w:rPr>
          <w:b/>
          <w:szCs w:val="24"/>
          <w:lang w:val="pl-PL"/>
        </w:rPr>
        <w:t xml:space="preserve"> 3.500 zł</w:t>
      </w:r>
      <w:r>
        <w:rPr>
          <w:b/>
          <w:szCs w:val="24"/>
          <w:lang w:val="pl-PL"/>
        </w:rPr>
        <w:t xml:space="preserve">, z czego na zakup jednego akumulatora – nie więcej niż 1.000 zł </w:t>
      </w:r>
    </w:p>
    <w:p w14:paraId="4BFD7280" w14:textId="77777777" w:rsidR="002D2E90" w:rsidRPr="00885BFF" w:rsidRDefault="002D2E90" w:rsidP="002D2E90">
      <w:pPr>
        <w:jc w:val="both"/>
        <w:rPr>
          <w:b/>
          <w:szCs w:val="24"/>
          <w:lang w:val="pl-PL"/>
        </w:rPr>
      </w:pPr>
    </w:p>
    <w:p w14:paraId="551E7AA8" w14:textId="77777777" w:rsidR="002D2E90" w:rsidRDefault="002D2E90" w:rsidP="002D2E90">
      <w:pPr>
        <w:jc w:val="both"/>
        <w:rPr>
          <w:szCs w:val="24"/>
          <w:lang w:val="pl-PL"/>
        </w:rPr>
      </w:pPr>
      <w:r w:rsidRPr="00885BFF">
        <w:rPr>
          <w:szCs w:val="24"/>
          <w:lang w:val="pl-PL"/>
        </w:rPr>
        <w:t>Refundacja może dotyczyć kosztów</w:t>
      </w:r>
      <w:r w:rsidRPr="00885BFF">
        <w:rPr>
          <w:b/>
          <w:szCs w:val="24"/>
          <w:lang w:val="pl-PL"/>
        </w:rPr>
        <w:t xml:space="preserve"> </w:t>
      </w:r>
      <w:r w:rsidRPr="00885BFF">
        <w:rPr>
          <w:szCs w:val="24"/>
          <w:lang w:val="pl-PL"/>
        </w:rPr>
        <w:t xml:space="preserve">poniesionych w okresie do 180 dni przed złożeniem wniosku. Wnioskodawca ubiegający się o refundację kosztów poniesionych przed dniem zawarcia umowy dofinansowania, warunki uczestnictwa w programie musi spełniać także </w:t>
      </w:r>
      <w:r>
        <w:rPr>
          <w:szCs w:val="24"/>
          <w:lang w:val="pl-PL"/>
        </w:rPr>
        <w:t>w</w:t>
      </w:r>
      <w:r w:rsidRPr="00885BFF">
        <w:rPr>
          <w:szCs w:val="24"/>
          <w:lang w:val="pl-PL"/>
        </w:rPr>
        <w:t xml:space="preserve"> terminie poniesienia kosztu objętego refundacją.  </w:t>
      </w:r>
    </w:p>
    <w:p w14:paraId="0D5456ED" w14:textId="77777777" w:rsidR="002D2E90" w:rsidRPr="00885BFF" w:rsidRDefault="002D2E90" w:rsidP="002D2E90">
      <w:pPr>
        <w:jc w:val="both"/>
        <w:rPr>
          <w:szCs w:val="24"/>
          <w:lang w:val="pl-PL"/>
        </w:rPr>
      </w:pPr>
    </w:p>
    <w:p w14:paraId="7797780B" w14:textId="77777777" w:rsidR="002D2E90" w:rsidRDefault="002D2E90" w:rsidP="002D2E90">
      <w:pPr>
        <w:jc w:val="both"/>
        <w:rPr>
          <w:b/>
          <w:szCs w:val="24"/>
          <w:lang w:val="pl-PL"/>
        </w:rPr>
      </w:pPr>
      <w:r w:rsidRPr="00885BFF">
        <w:rPr>
          <w:b/>
          <w:szCs w:val="24"/>
          <w:lang w:val="pl-PL"/>
        </w:rPr>
        <w:t>UDZIAŁ WŁASNY WNIOSKODAWCY: nie</w:t>
      </w:r>
      <w:r>
        <w:rPr>
          <w:b/>
          <w:szCs w:val="24"/>
          <w:lang w:val="pl-PL"/>
        </w:rPr>
        <w:t xml:space="preserve"> jest</w:t>
      </w:r>
      <w:r w:rsidRPr="00885BFF">
        <w:rPr>
          <w:b/>
          <w:szCs w:val="24"/>
          <w:lang w:val="pl-PL"/>
        </w:rPr>
        <w:t xml:space="preserve"> wymagany. </w:t>
      </w:r>
    </w:p>
    <w:p w14:paraId="08E535CF" w14:textId="77777777" w:rsidR="002D2E90" w:rsidRPr="00885BFF" w:rsidRDefault="002D2E90" w:rsidP="002D2E90">
      <w:pPr>
        <w:jc w:val="both"/>
        <w:rPr>
          <w:b/>
          <w:szCs w:val="24"/>
          <w:lang w:val="pl-PL"/>
        </w:rPr>
      </w:pPr>
    </w:p>
    <w:p w14:paraId="5C4E0AC2" w14:textId="77777777" w:rsidR="002D2E90" w:rsidRDefault="002D2E90" w:rsidP="002D2E90">
      <w:pPr>
        <w:jc w:val="both"/>
        <w:rPr>
          <w:szCs w:val="24"/>
          <w:lang w:val="pl-PL"/>
        </w:rPr>
      </w:pPr>
      <w:r w:rsidRPr="00885BFF">
        <w:rPr>
          <w:b/>
          <w:szCs w:val="24"/>
          <w:lang w:val="pl-PL"/>
        </w:rPr>
        <w:t xml:space="preserve">CZĘSTOTLIWOŚĆ UDZIELANIA POMOCY: </w:t>
      </w:r>
      <w:r w:rsidRPr="00885BFF">
        <w:rPr>
          <w:szCs w:val="24"/>
          <w:lang w:val="pl-PL"/>
        </w:rPr>
        <w:t>może być udzielona po zakończeniu okresu gwarancji</w:t>
      </w:r>
      <w:r>
        <w:rPr>
          <w:szCs w:val="24"/>
          <w:lang w:val="pl-PL"/>
        </w:rPr>
        <w:t xml:space="preserve"> na przedmiot/usługę wcześniej dofinansowaną. </w:t>
      </w:r>
    </w:p>
    <w:p w14:paraId="38FF9609" w14:textId="77777777" w:rsidR="002D2E90" w:rsidRDefault="002D2E90" w:rsidP="002D2E90">
      <w:pPr>
        <w:jc w:val="both"/>
        <w:rPr>
          <w:szCs w:val="24"/>
          <w:lang w:val="pl-PL"/>
        </w:rPr>
      </w:pPr>
      <w:r w:rsidRPr="00885BFF">
        <w:rPr>
          <w:szCs w:val="24"/>
          <w:lang w:val="pl-PL"/>
        </w:rPr>
        <w:t xml:space="preserve"> </w:t>
      </w:r>
    </w:p>
    <w:p w14:paraId="402B9DC7" w14:textId="77777777" w:rsidR="002D2E90" w:rsidRDefault="002D2E90" w:rsidP="002D2E90">
      <w:pPr>
        <w:jc w:val="both"/>
        <w:rPr>
          <w:lang w:val="pl-PL"/>
        </w:rPr>
      </w:pPr>
      <w:r w:rsidRPr="00186C1D">
        <w:rPr>
          <w:b/>
          <w:lang w:val="pl-PL"/>
        </w:rPr>
        <w:t xml:space="preserve">WYMAGALNE ZOBOWIĄZANIA </w:t>
      </w:r>
      <w:r w:rsidRPr="00186C1D">
        <w:rPr>
          <w:lang w:val="pl-PL"/>
        </w:rPr>
        <w:t>należy przez to rozumieć</w:t>
      </w:r>
      <w:r>
        <w:rPr>
          <w:lang w:val="pl-PL"/>
        </w:rPr>
        <w:t>:</w:t>
      </w:r>
    </w:p>
    <w:p w14:paraId="6450B235" w14:textId="77777777" w:rsidR="002D2E90" w:rsidRDefault="002D2E90" w:rsidP="002D2E90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D3207F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06D19012" w14:textId="77777777" w:rsidR="002D2E90" w:rsidRPr="00200E1C" w:rsidRDefault="002D2E90" w:rsidP="002D2E90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200E1C">
        <w:rPr>
          <w:lang w:val="pl-PL"/>
        </w:rPr>
        <w:t>w</w:t>
      </w:r>
      <w:r>
        <w:rPr>
          <w:lang w:val="pl-PL"/>
        </w:rPr>
        <w:t xml:space="preserve"> </w:t>
      </w:r>
      <w:r w:rsidRPr="00200E1C">
        <w:rPr>
          <w:lang w:val="pl-PL"/>
        </w:rPr>
        <w:t>odniesieniu do zobowiązań publicznoprawnych, wynikających z decyzji administracyjnych wydawanych na podstawie przepisów k.p.a. – zobowiązania:</w:t>
      </w:r>
    </w:p>
    <w:p w14:paraId="3090BCD6" w14:textId="4F87433F" w:rsidR="002D2E90" w:rsidRPr="00406A5D" w:rsidRDefault="002D2E90" w:rsidP="002D2E90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ostatecznych, których wykonanie nie zostało wstrzymane </w:t>
      </w:r>
      <w:r>
        <w:rPr>
          <w:lang w:val="pl-PL"/>
        </w:rPr>
        <w:t xml:space="preserve">                           </w:t>
      </w:r>
      <w:r w:rsidRPr="00406A5D">
        <w:rPr>
          <w:lang w:val="pl-PL"/>
        </w:rPr>
        <w:t xml:space="preserve">z upływem dnia, w którym decyzja stała się ostateczna – w przypadku decyzji, </w:t>
      </w:r>
      <w:r>
        <w:rPr>
          <w:lang w:val="pl-PL"/>
        </w:rPr>
        <w:t xml:space="preserve">                         </w:t>
      </w:r>
      <w:r w:rsidRPr="00406A5D">
        <w:rPr>
          <w:lang w:val="pl-PL"/>
        </w:rPr>
        <w:t>w których nie wskazano terminu płatności,</w:t>
      </w:r>
    </w:p>
    <w:p w14:paraId="3BA91D5B" w14:textId="7D469607" w:rsidR="002D2E90" w:rsidRDefault="002D2E90" w:rsidP="002D2E90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>- wynikające z decyzji ostatecznych, których wykonanie nie zostało wstrzymane</w:t>
      </w:r>
      <w:r>
        <w:rPr>
          <w:lang w:val="pl-PL"/>
        </w:rPr>
        <w:t xml:space="preserve">                            </w:t>
      </w:r>
      <w:r w:rsidRPr="00406A5D">
        <w:rPr>
          <w:lang w:val="pl-PL"/>
        </w:rPr>
        <w:t xml:space="preserve"> z upływem terminu płatności oznaczonego w decyzji – w przypadku decyzji</w:t>
      </w:r>
      <w:r>
        <w:rPr>
          <w:lang w:val="pl-PL"/>
        </w:rPr>
        <w:t xml:space="preserve">                                   </w:t>
      </w:r>
      <w:r w:rsidRPr="00406A5D">
        <w:rPr>
          <w:lang w:val="pl-PL"/>
        </w:rPr>
        <w:t xml:space="preserve"> z oznaczonym </w:t>
      </w:r>
    </w:p>
    <w:p w14:paraId="61D80E10" w14:textId="77777777" w:rsidR="002D2E90" w:rsidRDefault="002D2E90" w:rsidP="002D2E90">
      <w:pPr>
        <w:pStyle w:val="Akapitzlist"/>
        <w:jc w:val="both"/>
        <w:rPr>
          <w:lang w:val="pl-PL"/>
        </w:rPr>
      </w:pPr>
    </w:p>
    <w:p w14:paraId="38A06C21" w14:textId="77777777" w:rsidR="002D2E90" w:rsidRDefault="002D2E90" w:rsidP="002D2E90">
      <w:pPr>
        <w:pStyle w:val="Akapitzlist"/>
        <w:jc w:val="both"/>
        <w:rPr>
          <w:lang w:val="pl-PL"/>
        </w:rPr>
      </w:pPr>
    </w:p>
    <w:p w14:paraId="7D61128A" w14:textId="77777777" w:rsidR="002D2E90" w:rsidRPr="00406A5D" w:rsidRDefault="002D2E90" w:rsidP="002D2E90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>terminem płatności,</w:t>
      </w:r>
    </w:p>
    <w:p w14:paraId="10112F32" w14:textId="77777777" w:rsidR="002D2E90" w:rsidRDefault="002D2E90" w:rsidP="002D2E90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</w:t>
      </w:r>
      <w:r>
        <w:rPr>
          <w:lang w:val="pl-PL"/>
        </w:rPr>
        <w:t>nie</w:t>
      </w:r>
      <w:r w:rsidRPr="00406A5D">
        <w:rPr>
          <w:lang w:val="pl-PL"/>
        </w:rPr>
        <w:t>ostatecznych, którym nadano rygor natychmiastowej wykonalnośc</w:t>
      </w:r>
      <w:r>
        <w:rPr>
          <w:lang w:val="pl-PL"/>
        </w:rPr>
        <w:t>i.</w:t>
      </w:r>
    </w:p>
    <w:p w14:paraId="7E4C5CC3" w14:textId="77777777" w:rsidR="002D2E90" w:rsidRPr="00F377E7" w:rsidRDefault="002D2E90" w:rsidP="002D2E90">
      <w:pPr>
        <w:pStyle w:val="Akapitzlist"/>
        <w:jc w:val="both"/>
        <w:rPr>
          <w:lang w:val="pl-PL"/>
        </w:rPr>
      </w:pPr>
    </w:p>
    <w:p w14:paraId="528FAF9B" w14:textId="569C9DA0" w:rsidR="002D2E90" w:rsidRPr="006D00F7" w:rsidRDefault="002D2E90" w:rsidP="002D2E90">
      <w:pPr>
        <w:jc w:val="both"/>
        <w:rPr>
          <w:lang w:val="pl-PL"/>
        </w:rPr>
      </w:pPr>
      <w:r w:rsidRPr="006D00F7">
        <w:rPr>
          <w:b/>
          <w:lang w:val="pl-PL"/>
        </w:rPr>
        <w:t xml:space="preserve">MIEJSCE ZAMIESZKANIA </w:t>
      </w:r>
      <w:r w:rsidRPr="006D00F7">
        <w:rPr>
          <w:lang w:val="pl-PL"/>
        </w:rPr>
        <w:t>należy przez to rozumieć, zgodnie z normą kodeksu cywilnego</w:t>
      </w:r>
      <w:r>
        <w:rPr>
          <w:lang w:val="pl-PL"/>
        </w:rPr>
        <w:t xml:space="preserve">              </w:t>
      </w:r>
      <w:r w:rsidRPr="006D00F7">
        <w:rPr>
          <w:lang w:val="pl-PL"/>
        </w:rPr>
        <w:t xml:space="preserve"> (art.</w:t>
      </w:r>
      <w:r>
        <w:rPr>
          <w:lang w:val="pl-PL"/>
        </w:rPr>
        <w:t xml:space="preserve"> </w:t>
      </w:r>
      <w:r w:rsidRPr="006D00F7">
        <w:rPr>
          <w:lang w:val="pl-PL"/>
        </w:rPr>
        <w:t>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w określonym mieście, ale również zamiar stałego pobytu</w:t>
      </w:r>
      <w:r>
        <w:rPr>
          <w:lang w:val="pl-PL"/>
        </w:rPr>
        <w:t xml:space="preserve">         </w:t>
      </w:r>
      <w:r w:rsidRPr="006D00F7">
        <w:rPr>
          <w:lang w:val="pl-PL"/>
        </w:rPr>
        <w:t xml:space="preserve"> i chęć skoncentrowania swoich interesów życiowych w danym miejscu; można mieć tylko jedno miejsce zamieszkania</w:t>
      </w:r>
      <w:r>
        <w:rPr>
          <w:lang w:val="pl-PL"/>
        </w:rPr>
        <w:t>; 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6D50B66E" w14:textId="77777777" w:rsidR="002D2E90" w:rsidRDefault="002D2E90" w:rsidP="002D2E90"/>
    <w:p w14:paraId="13BA3FE2" w14:textId="3732A7F9" w:rsidR="005F4479" w:rsidRPr="002D2E90" w:rsidRDefault="005F4479" w:rsidP="002D2E90"/>
    <w:sectPr w:rsidR="005F4479" w:rsidRPr="002D2E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B41CE" w14:textId="77777777" w:rsidR="00C80AE2" w:rsidRDefault="00C80AE2" w:rsidP="002D2E90">
      <w:pPr>
        <w:spacing w:line="240" w:lineRule="auto"/>
      </w:pPr>
      <w:r>
        <w:separator/>
      </w:r>
    </w:p>
  </w:endnote>
  <w:endnote w:type="continuationSeparator" w:id="0">
    <w:p w14:paraId="0A0E32DA" w14:textId="77777777" w:rsidR="00C80AE2" w:rsidRDefault="00C80AE2" w:rsidP="002D2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E03DF" w14:textId="77777777" w:rsidR="00C80AE2" w:rsidRDefault="00C80AE2" w:rsidP="002D2E90">
      <w:pPr>
        <w:spacing w:line="240" w:lineRule="auto"/>
      </w:pPr>
      <w:r>
        <w:separator/>
      </w:r>
    </w:p>
  </w:footnote>
  <w:footnote w:type="continuationSeparator" w:id="0">
    <w:p w14:paraId="37A6C4E2" w14:textId="77777777" w:rsidR="00C80AE2" w:rsidRDefault="00C80AE2" w:rsidP="002D2E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D412" w14:textId="6D18C0BC" w:rsidR="002D2E90" w:rsidRDefault="002D2E9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7E49E4" wp14:editId="7CD22CFD">
          <wp:simplePos x="0" y="0"/>
          <wp:positionH relativeFrom="column">
            <wp:posOffset>4105275</wp:posOffset>
          </wp:positionH>
          <wp:positionV relativeFrom="paragraph">
            <wp:posOffset>8890</wp:posOffset>
          </wp:positionV>
          <wp:extent cx="2105025" cy="87630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34B0300" wp14:editId="6227A0E5">
          <wp:simplePos x="0" y="0"/>
          <wp:positionH relativeFrom="column">
            <wp:posOffset>1752600</wp:posOffset>
          </wp:positionH>
          <wp:positionV relativeFrom="paragraph">
            <wp:posOffset>-448310</wp:posOffset>
          </wp:positionV>
          <wp:extent cx="2143125" cy="179070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4295">
      <w:rPr>
        <w:noProof/>
      </w:rPr>
      <w:drawing>
        <wp:inline distT="0" distB="0" distL="0" distR="0" wp14:anchorId="62390D0A" wp14:editId="41B619AA">
          <wp:extent cx="1524000" cy="8991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26313" cy="90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FC7F1" w14:textId="77777777" w:rsidR="002D2E90" w:rsidRDefault="002D2E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4107B"/>
    <w:multiLevelType w:val="hybridMultilevel"/>
    <w:tmpl w:val="DF00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A6017EE"/>
    <w:multiLevelType w:val="hybridMultilevel"/>
    <w:tmpl w:val="A912B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0"/>
    <w:rsid w:val="002D2E90"/>
    <w:rsid w:val="005F4479"/>
    <w:rsid w:val="00C8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013D"/>
  <w15:chartTrackingRefBased/>
  <w15:docId w15:val="{4FB91431-5E26-4276-BF7B-D323FEE0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E90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E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E90"/>
  </w:style>
  <w:style w:type="paragraph" w:styleId="Stopka">
    <w:name w:val="footer"/>
    <w:basedOn w:val="Normalny"/>
    <w:link w:val="StopkaZnak"/>
    <w:uiPriority w:val="99"/>
    <w:unhideWhenUsed/>
    <w:rsid w:val="002D2E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E90"/>
  </w:style>
  <w:style w:type="paragraph" w:styleId="Akapitzlist">
    <w:name w:val="List Paragraph"/>
    <w:basedOn w:val="Normalny"/>
    <w:uiPriority w:val="34"/>
    <w:qFormat/>
    <w:rsid w:val="002D2E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Karkowska</dc:creator>
  <cp:keywords/>
  <dc:description/>
  <cp:lastModifiedBy>B. Karkowska</cp:lastModifiedBy>
  <cp:revision>1</cp:revision>
  <dcterms:created xsi:type="dcterms:W3CDTF">2021-02-26T13:37:00Z</dcterms:created>
  <dcterms:modified xsi:type="dcterms:W3CDTF">2021-02-26T13:44:00Z</dcterms:modified>
</cp:coreProperties>
</file>